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0" w:type="dxa"/>
          <w:left w:w="0" w:type="dxa"/>
          <w:bottom w:w="150" w:type="dxa"/>
          <w:right w:w="0" w:type="dxa"/>
        </w:tblCellMar>
        <w:tblLook w:val="04A0" w:firstRow="1" w:lastRow="0" w:firstColumn="1" w:lastColumn="0" w:noHBand="0" w:noVBand="1"/>
      </w:tblPr>
      <w:tblGrid>
        <w:gridCol w:w="12960"/>
      </w:tblGrid>
      <w:tr w:rsidR="00E351EF" w:rsidRPr="00E351EF">
        <w:trPr>
          <w:tblCellSpacing w:w="0" w:type="dxa"/>
        </w:trPr>
        <w:tc>
          <w:tcPr>
            <w:tcW w:w="0" w:type="auto"/>
            <w:tcMar>
              <w:top w:w="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960"/>
            </w:tblGrid>
            <w:tr w:rsidR="00E351EF" w:rsidRPr="00E351EF">
              <w:trPr>
                <w:tblCellSpacing w:w="0" w:type="dxa"/>
              </w:trPr>
              <w:tc>
                <w:tcPr>
                  <w:tcW w:w="0" w:type="auto"/>
                  <w:hideMark/>
                </w:tcPr>
                <w:p w:rsidR="00E351EF" w:rsidRPr="00E351EF" w:rsidRDefault="00E351EF" w:rsidP="00E351EF">
                  <w:pPr>
                    <w:spacing w:before="100" w:beforeAutospacing="1" w:after="100" w:afterAutospacing="1" w:line="240" w:lineRule="auto"/>
                    <w:outlineLvl w:val="2"/>
                    <w:rPr>
                      <w:rFonts w:ascii="Verdana" w:eastAsia="Times New Roman" w:hAnsi="Verdana" w:cs="Times New Roman"/>
                      <w:b/>
                      <w:bCs/>
                      <w:sz w:val="27"/>
                      <w:szCs w:val="27"/>
                    </w:rPr>
                  </w:pPr>
                  <w:r w:rsidRPr="00E351EF">
                    <w:rPr>
                      <w:rFonts w:ascii="Verdana" w:eastAsia="Times New Roman" w:hAnsi="Verdana" w:cs="Times New Roman"/>
                      <w:b/>
                      <w:bCs/>
                      <w:sz w:val="27"/>
                      <w:szCs w:val="27"/>
                    </w:rPr>
                    <w:t>How Literal?</w:t>
                  </w:r>
                </w:p>
                <w:p w:rsidR="00E351EF" w:rsidRPr="00E351EF" w:rsidRDefault="00E351EF" w:rsidP="00E351EF">
                  <w:pPr>
                    <w:spacing w:before="100" w:beforeAutospacing="1" w:after="100" w:afterAutospacing="1" w:line="240" w:lineRule="auto"/>
                    <w:jc w:val="center"/>
                    <w:rPr>
                      <w:rFonts w:ascii="Verdana" w:eastAsia="Times New Roman" w:hAnsi="Verdana" w:cs="Times New Roman"/>
                      <w:sz w:val="18"/>
                      <w:szCs w:val="18"/>
                    </w:rPr>
                  </w:pPr>
                  <w:r w:rsidRPr="00E351EF">
                    <w:rPr>
                      <w:rFonts w:ascii="Verdana" w:eastAsia="Times New Roman" w:hAnsi="Verdana" w:cs="Times New Roman"/>
                      <w:noProof/>
                      <w:sz w:val="18"/>
                      <w:szCs w:val="18"/>
                    </w:rPr>
                    <w:drawing>
                      <wp:inline distT="0" distB="0" distL="0" distR="0" wp14:anchorId="606364BB" wp14:editId="601C4C93">
                        <wp:extent cx="5448300" cy="1133475"/>
                        <wp:effectExtent l="0" t="0" r="0" b="9525"/>
                        <wp:docPr id="1" name="Picture 1" descr="http://graphics.christianbook.com/g/home_page/transarrow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christianbook.com/g/home_page/transarrowchar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1133475"/>
                                </a:xfrm>
                                <a:prstGeom prst="rect">
                                  <a:avLst/>
                                </a:prstGeom>
                                <a:noFill/>
                                <a:ln>
                                  <a:noFill/>
                                </a:ln>
                              </pic:spPr>
                            </pic:pic>
                          </a:graphicData>
                        </a:graphic>
                      </wp:inline>
                    </w:drawing>
                  </w:r>
                </w:p>
              </w:tc>
            </w:tr>
          </w:tbl>
          <w:p w:rsidR="00E351EF" w:rsidRPr="00E351EF" w:rsidRDefault="00E351EF" w:rsidP="00E351EF">
            <w:pPr>
              <w:spacing w:after="0" w:line="240" w:lineRule="auto"/>
              <w:rPr>
                <w:rFonts w:ascii="Verdana" w:eastAsia="Times New Roman" w:hAnsi="Verdana" w:cs="Times New Roman"/>
                <w:sz w:val="18"/>
                <w:szCs w:val="18"/>
              </w:rPr>
            </w:pPr>
          </w:p>
        </w:tc>
      </w:tr>
      <w:tr w:rsidR="00E351EF" w:rsidRPr="00E351E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960"/>
            </w:tblGrid>
            <w:tr w:rsidR="00E351EF" w:rsidRPr="00E351EF">
              <w:trPr>
                <w:tblCellSpacing w:w="0" w:type="dxa"/>
              </w:trPr>
              <w:tc>
                <w:tcPr>
                  <w:tcW w:w="0" w:type="auto"/>
                  <w:hideMark/>
                </w:tcPr>
                <w:p w:rsidR="00E351EF" w:rsidRPr="00E351EF" w:rsidRDefault="00E351EF" w:rsidP="00E351EF">
                  <w:pPr>
                    <w:spacing w:before="100" w:beforeAutospacing="1" w:after="100" w:afterAutospacing="1" w:line="240" w:lineRule="auto"/>
                    <w:rPr>
                      <w:rFonts w:ascii="Verdana" w:eastAsia="Times New Roman" w:hAnsi="Verdana" w:cs="Times New Roman"/>
                      <w:sz w:val="18"/>
                      <w:szCs w:val="18"/>
                    </w:rPr>
                  </w:pPr>
                  <w:r w:rsidRPr="00E351EF">
                    <w:rPr>
                      <w:rFonts w:ascii="Verdana" w:eastAsia="Times New Roman" w:hAnsi="Verdana" w:cs="Times New Roman"/>
                      <w:sz w:val="18"/>
                      <w:szCs w:val="18"/>
                    </w:rPr>
                    <w:t xml:space="preserve">At one end of the spectrum is the </w:t>
                  </w:r>
                  <w:r w:rsidRPr="00E351EF">
                    <w:rPr>
                      <w:rFonts w:ascii="Verdana" w:eastAsia="Times New Roman" w:hAnsi="Verdana" w:cs="Times New Roman"/>
                      <w:i/>
                      <w:iCs/>
                      <w:sz w:val="18"/>
                      <w:szCs w:val="18"/>
                    </w:rPr>
                    <w:t>word-for-word</w:t>
                  </w:r>
                  <w:r w:rsidRPr="00E351EF">
                    <w:rPr>
                      <w:rFonts w:ascii="Verdana" w:eastAsia="Times New Roman" w:hAnsi="Verdana" w:cs="Times New Roman"/>
                      <w:sz w:val="18"/>
                      <w:szCs w:val="18"/>
                    </w:rPr>
                    <w:t xml:space="preserve"> translation (also referred to as a </w:t>
                  </w:r>
                  <w:r w:rsidRPr="00E351EF">
                    <w:rPr>
                      <w:rFonts w:ascii="Verdana" w:eastAsia="Times New Roman" w:hAnsi="Verdana" w:cs="Times New Roman"/>
                      <w:i/>
                      <w:iCs/>
                      <w:sz w:val="18"/>
                      <w:szCs w:val="18"/>
                    </w:rPr>
                    <w:t>formal equivalent</w:t>
                  </w:r>
                  <w:r w:rsidRPr="00E351EF">
                    <w:rPr>
                      <w:rFonts w:ascii="Verdana" w:eastAsia="Times New Roman" w:hAnsi="Verdana" w:cs="Times New Roman"/>
                      <w:sz w:val="18"/>
                      <w:szCs w:val="18"/>
                    </w:rPr>
                    <w:t xml:space="preserve"> or </w:t>
                  </w:r>
                  <w:r w:rsidRPr="00E351EF">
                    <w:rPr>
                      <w:rFonts w:ascii="Verdana" w:eastAsia="Times New Roman" w:hAnsi="Verdana" w:cs="Times New Roman"/>
                      <w:i/>
                      <w:iCs/>
                      <w:sz w:val="18"/>
                      <w:szCs w:val="18"/>
                    </w:rPr>
                    <w:t>literal</w:t>
                  </w:r>
                  <w:r w:rsidRPr="00E351EF">
                    <w:rPr>
                      <w:rFonts w:ascii="Verdana" w:eastAsia="Times New Roman" w:hAnsi="Verdana" w:cs="Times New Roman"/>
                      <w:sz w:val="18"/>
                      <w:szCs w:val="18"/>
                    </w:rPr>
                    <w:t xml:space="preserve"> translation)</w:t>
                  </w:r>
                  <w:proofErr w:type="gramStart"/>
                  <w:r w:rsidRPr="00E351EF">
                    <w:rPr>
                      <w:rFonts w:ascii="Verdana" w:eastAsia="Times New Roman" w:hAnsi="Verdana" w:cs="Times New Roman"/>
                      <w:sz w:val="18"/>
                      <w:szCs w:val="18"/>
                    </w:rPr>
                    <w:t>.</w:t>
                  </w:r>
                  <w:proofErr w:type="gramEnd"/>
                  <w:r w:rsidRPr="00E351EF">
                    <w:rPr>
                      <w:rFonts w:ascii="Verdana" w:eastAsia="Times New Roman" w:hAnsi="Verdana" w:cs="Times New Roman"/>
                      <w:sz w:val="18"/>
                      <w:szCs w:val="18"/>
                    </w:rPr>
                    <w:t xml:space="preserve"> This approach seeks to represent the original Greek and Hebrew in a more word-for-word manner and preserve—as far as possible—original word order, grammar, and syntax. Many prefer this method because each Greek or Hebrew word is generally represented by the same English word in all occurrences. Some of the more literal translations include: the </w:t>
                  </w:r>
                  <w:hyperlink r:id="rId6" w:history="1">
                    <w:r w:rsidRPr="00E351EF">
                      <w:rPr>
                        <w:rFonts w:ascii="Verdana" w:eastAsia="Times New Roman" w:hAnsi="Verdana" w:cs="Times New Roman"/>
                        <w:b/>
                        <w:bCs/>
                        <w:color w:val="274F72"/>
                        <w:sz w:val="18"/>
                        <w:szCs w:val="18"/>
                      </w:rPr>
                      <w:t>King James Version</w:t>
                    </w:r>
                  </w:hyperlink>
                  <w:r w:rsidRPr="00E351EF">
                    <w:rPr>
                      <w:rFonts w:ascii="Verdana" w:eastAsia="Times New Roman" w:hAnsi="Verdana" w:cs="Times New Roman"/>
                      <w:sz w:val="18"/>
                      <w:szCs w:val="18"/>
                    </w:rPr>
                    <w:t xml:space="preserve"> (KJV), the </w:t>
                  </w:r>
                  <w:hyperlink r:id="rId7" w:history="1">
                    <w:r w:rsidRPr="00E351EF">
                      <w:rPr>
                        <w:rFonts w:ascii="Verdana" w:eastAsia="Times New Roman" w:hAnsi="Verdana" w:cs="Times New Roman"/>
                        <w:b/>
                        <w:bCs/>
                        <w:color w:val="274F72"/>
                        <w:sz w:val="18"/>
                        <w:szCs w:val="18"/>
                      </w:rPr>
                      <w:t>New King James Version</w:t>
                    </w:r>
                  </w:hyperlink>
                  <w:r w:rsidRPr="00E351EF">
                    <w:rPr>
                      <w:rFonts w:ascii="Verdana" w:eastAsia="Times New Roman" w:hAnsi="Verdana" w:cs="Times New Roman"/>
                      <w:sz w:val="18"/>
                      <w:szCs w:val="18"/>
                    </w:rPr>
                    <w:t xml:space="preserve"> (NKJV), the </w:t>
                  </w:r>
                  <w:hyperlink r:id="rId8" w:history="1">
                    <w:r w:rsidRPr="00E351EF">
                      <w:rPr>
                        <w:rFonts w:ascii="Verdana" w:eastAsia="Times New Roman" w:hAnsi="Verdana" w:cs="Times New Roman"/>
                        <w:b/>
                        <w:bCs/>
                        <w:color w:val="274F72"/>
                        <w:sz w:val="18"/>
                        <w:szCs w:val="18"/>
                      </w:rPr>
                      <w:t>English Standard Version</w:t>
                    </w:r>
                  </w:hyperlink>
                  <w:r w:rsidRPr="00E351EF">
                    <w:rPr>
                      <w:rFonts w:ascii="Verdana" w:eastAsia="Times New Roman" w:hAnsi="Verdana" w:cs="Times New Roman"/>
                      <w:sz w:val="18"/>
                      <w:szCs w:val="18"/>
                    </w:rPr>
                    <w:t xml:space="preserve"> (ESV), and the </w:t>
                  </w:r>
                  <w:hyperlink r:id="rId9" w:history="1">
                    <w:r w:rsidRPr="00E351EF">
                      <w:rPr>
                        <w:rFonts w:ascii="Verdana" w:eastAsia="Times New Roman" w:hAnsi="Verdana" w:cs="Times New Roman"/>
                        <w:b/>
                        <w:bCs/>
                        <w:color w:val="274F72"/>
                        <w:sz w:val="18"/>
                        <w:szCs w:val="18"/>
                      </w:rPr>
                      <w:t>New American Standard Bible</w:t>
                    </w:r>
                  </w:hyperlink>
                  <w:r w:rsidRPr="00E351EF">
                    <w:rPr>
                      <w:rFonts w:ascii="Verdana" w:eastAsia="Times New Roman" w:hAnsi="Verdana" w:cs="Times New Roman"/>
                      <w:sz w:val="18"/>
                      <w:szCs w:val="18"/>
                    </w:rPr>
                    <w:t xml:space="preserve"> (NASB). The most literal translation is the </w:t>
                  </w:r>
                  <w:hyperlink r:id="rId10" w:tooltip="Interlinear Bibles" w:history="1">
                    <w:r w:rsidRPr="00E351EF">
                      <w:rPr>
                        <w:rFonts w:ascii="Verdana" w:eastAsia="Times New Roman" w:hAnsi="Verdana" w:cs="Times New Roman"/>
                        <w:b/>
                        <w:bCs/>
                        <w:color w:val="274F72"/>
                        <w:sz w:val="18"/>
                        <w:szCs w:val="18"/>
                      </w:rPr>
                      <w:t>interlinear</w:t>
                    </w:r>
                  </w:hyperlink>
                  <w:r w:rsidRPr="00E351EF">
                    <w:rPr>
                      <w:rFonts w:ascii="Verdana" w:eastAsia="Times New Roman" w:hAnsi="Verdana" w:cs="Times New Roman"/>
                      <w:sz w:val="18"/>
                      <w:szCs w:val="18"/>
                    </w:rPr>
                    <w:t xml:space="preserve"> which contains the text in its original language with the English equivalent underneath the text.</w:t>
                  </w:r>
                  <w:r w:rsidRPr="00E351EF">
                    <w:rPr>
                      <w:rFonts w:ascii="Verdana" w:eastAsia="Times New Roman" w:hAnsi="Verdana" w:cs="Times New Roman"/>
                      <w:sz w:val="18"/>
                      <w:szCs w:val="18"/>
                    </w:rPr>
                    <w:br/>
                  </w:r>
                  <w:r w:rsidRPr="00E351EF">
                    <w:rPr>
                      <w:rFonts w:ascii="Verdana" w:eastAsia="Times New Roman" w:hAnsi="Verdana" w:cs="Times New Roman"/>
                      <w:sz w:val="18"/>
                      <w:szCs w:val="18"/>
                    </w:rPr>
                    <w:br/>
                    <w:t xml:space="preserve">On the other end of the spectrum we find the </w:t>
                  </w:r>
                  <w:r w:rsidRPr="00E351EF">
                    <w:rPr>
                      <w:rFonts w:ascii="Verdana" w:eastAsia="Times New Roman" w:hAnsi="Verdana" w:cs="Times New Roman"/>
                      <w:i/>
                      <w:iCs/>
                      <w:sz w:val="18"/>
                      <w:szCs w:val="18"/>
                    </w:rPr>
                    <w:t>thought-for-thought</w:t>
                  </w:r>
                  <w:r w:rsidRPr="00E351EF">
                    <w:rPr>
                      <w:rFonts w:ascii="Verdana" w:eastAsia="Times New Roman" w:hAnsi="Verdana" w:cs="Times New Roman"/>
                      <w:sz w:val="18"/>
                      <w:szCs w:val="18"/>
                    </w:rPr>
                    <w:t xml:space="preserve"> translation (also referred to as a </w:t>
                  </w:r>
                  <w:r w:rsidRPr="00E351EF">
                    <w:rPr>
                      <w:rFonts w:ascii="Verdana" w:eastAsia="Times New Roman" w:hAnsi="Verdana" w:cs="Times New Roman"/>
                      <w:i/>
                      <w:iCs/>
                      <w:sz w:val="18"/>
                      <w:szCs w:val="18"/>
                    </w:rPr>
                    <w:t>paraphrase</w:t>
                  </w:r>
                  <w:r w:rsidRPr="00E351EF">
                    <w:rPr>
                      <w:rFonts w:ascii="Verdana" w:eastAsia="Times New Roman" w:hAnsi="Verdana" w:cs="Times New Roman"/>
                      <w:sz w:val="18"/>
                      <w:szCs w:val="18"/>
                    </w:rPr>
                    <w:t xml:space="preserve"> or </w:t>
                  </w:r>
                  <w:r w:rsidRPr="00E351EF">
                    <w:rPr>
                      <w:rFonts w:ascii="Verdana" w:eastAsia="Times New Roman" w:hAnsi="Verdana" w:cs="Times New Roman"/>
                      <w:i/>
                      <w:iCs/>
                      <w:sz w:val="18"/>
                      <w:szCs w:val="18"/>
                    </w:rPr>
                    <w:t>functional equivalent</w:t>
                  </w:r>
                  <w:r w:rsidRPr="00E351EF">
                    <w:rPr>
                      <w:rFonts w:ascii="Verdana" w:eastAsia="Times New Roman" w:hAnsi="Verdana" w:cs="Times New Roman"/>
                      <w:sz w:val="18"/>
                      <w:szCs w:val="18"/>
                    </w:rPr>
                    <w:t xml:space="preserve">). This approach is more concerned with putting meaning of the passage in a colloquial language familiar to the reader. This type of translation seeks to render the ideas of the original text as accurately as possible in the target language (like English). Some examples in this category are: </w:t>
                  </w:r>
                  <w:hyperlink r:id="rId11" w:history="1">
                    <w:r w:rsidRPr="00E351EF">
                      <w:rPr>
                        <w:rFonts w:ascii="Verdana" w:eastAsia="Times New Roman" w:hAnsi="Verdana" w:cs="Times New Roman"/>
                        <w:b/>
                        <w:bCs/>
                        <w:color w:val="274F72"/>
                        <w:sz w:val="18"/>
                        <w:szCs w:val="18"/>
                      </w:rPr>
                      <w:t>The Philips New Testament in Modern English</w:t>
                    </w:r>
                  </w:hyperlink>
                  <w:r w:rsidRPr="00E351EF">
                    <w:rPr>
                      <w:rFonts w:ascii="Verdana" w:eastAsia="Times New Roman" w:hAnsi="Verdana" w:cs="Times New Roman"/>
                      <w:sz w:val="18"/>
                      <w:szCs w:val="18"/>
                    </w:rPr>
                    <w:t xml:space="preserve">, </w:t>
                  </w:r>
                  <w:hyperlink r:id="rId12" w:history="1">
                    <w:r w:rsidRPr="00E351EF">
                      <w:rPr>
                        <w:rFonts w:ascii="Verdana" w:eastAsia="Times New Roman" w:hAnsi="Verdana" w:cs="Times New Roman"/>
                        <w:b/>
                        <w:bCs/>
                        <w:color w:val="274F72"/>
                        <w:sz w:val="18"/>
                        <w:szCs w:val="18"/>
                      </w:rPr>
                      <w:t>The Living Bible</w:t>
                    </w:r>
                  </w:hyperlink>
                  <w:r w:rsidRPr="00E351EF">
                    <w:rPr>
                      <w:rFonts w:ascii="Verdana" w:eastAsia="Times New Roman" w:hAnsi="Verdana" w:cs="Times New Roman"/>
                      <w:sz w:val="18"/>
                      <w:szCs w:val="18"/>
                    </w:rPr>
                    <w:t xml:space="preserve">, and </w:t>
                  </w:r>
                  <w:hyperlink r:id="rId13" w:history="1">
                    <w:r w:rsidRPr="00E351EF">
                      <w:rPr>
                        <w:rFonts w:ascii="Verdana" w:eastAsia="Times New Roman" w:hAnsi="Verdana" w:cs="Times New Roman"/>
                        <w:b/>
                        <w:bCs/>
                        <w:color w:val="274F72"/>
                        <w:sz w:val="18"/>
                        <w:szCs w:val="18"/>
                      </w:rPr>
                      <w:t>The Message</w:t>
                    </w:r>
                  </w:hyperlink>
                  <w:r w:rsidRPr="00E351EF">
                    <w:rPr>
                      <w:rFonts w:ascii="Verdana" w:eastAsia="Times New Roman" w:hAnsi="Verdana" w:cs="Times New Roman"/>
                      <w:sz w:val="18"/>
                      <w:szCs w:val="18"/>
                    </w:rPr>
                    <w:t xml:space="preserve"> (by Eugene Peterson). Many find this translation more readable, especially for new readers.</w:t>
                  </w:r>
                  <w:r w:rsidRPr="00E351EF">
                    <w:rPr>
                      <w:rFonts w:ascii="Verdana" w:eastAsia="Times New Roman" w:hAnsi="Verdana" w:cs="Times New Roman"/>
                      <w:sz w:val="18"/>
                      <w:szCs w:val="18"/>
                    </w:rPr>
                    <w:br/>
                  </w:r>
                  <w:r w:rsidRPr="00E351EF">
                    <w:rPr>
                      <w:rFonts w:ascii="Verdana" w:eastAsia="Times New Roman" w:hAnsi="Verdana" w:cs="Times New Roman"/>
                      <w:sz w:val="18"/>
                      <w:szCs w:val="18"/>
                    </w:rPr>
                    <w:br/>
                    <w:t xml:space="preserve">The middle of the spectrum is occupied by the </w:t>
                  </w:r>
                  <w:r w:rsidRPr="00E351EF">
                    <w:rPr>
                      <w:rFonts w:ascii="Verdana" w:eastAsia="Times New Roman" w:hAnsi="Verdana" w:cs="Times New Roman"/>
                      <w:i/>
                      <w:iCs/>
                      <w:sz w:val="18"/>
                      <w:szCs w:val="18"/>
                    </w:rPr>
                    <w:t>dynamic equivalent</w:t>
                  </w:r>
                  <w:r w:rsidRPr="00E351EF">
                    <w:rPr>
                      <w:rFonts w:ascii="Verdana" w:eastAsia="Times New Roman" w:hAnsi="Verdana" w:cs="Times New Roman"/>
                      <w:sz w:val="18"/>
                      <w:szCs w:val="18"/>
                    </w:rPr>
                    <w:t xml:space="preserve">, or </w:t>
                  </w:r>
                  <w:r w:rsidRPr="00E351EF">
                    <w:rPr>
                      <w:rFonts w:ascii="Verdana" w:eastAsia="Times New Roman" w:hAnsi="Verdana" w:cs="Times New Roman"/>
                      <w:i/>
                      <w:iCs/>
                      <w:sz w:val="18"/>
                      <w:szCs w:val="18"/>
                    </w:rPr>
                    <w:t>mediating</w:t>
                  </w:r>
                  <w:r w:rsidRPr="00E351EF">
                    <w:rPr>
                      <w:rFonts w:ascii="Verdana" w:eastAsia="Times New Roman" w:hAnsi="Verdana" w:cs="Times New Roman"/>
                      <w:sz w:val="18"/>
                      <w:szCs w:val="18"/>
                    </w:rPr>
                    <w:t xml:space="preserve"> translation. These translations seek to strike a balance between the two translation approaches. They are sometimes more literal, sometimes more colloquial or conversational depending on the subject and text. Some examples in this category are the </w:t>
                  </w:r>
                  <w:hyperlink r:id="rId14" w:history="1">
                    <w:r w:rsidRPr="00E351EF">
                      <w:rPr>
                        <w:rFonts w:ascii="Verdana" w:eastAsia="Times New Roman" w:hAnsi="Verdana" w:cs="Times New Roman"/>
                        <w:b/>
                        <w:bCs/>
                        <w:color w:val="274F72"/>
                        <w:sz w:val="18"/>
                        <w:szCs w:val="18"/>
                      </w:rPr>
                      <w:t>New International Version</w:t>
                    </w:r>
                  </w:hyperlink>
                  <w:r w:rsidRPr="00E351EF">
                    <w:rPr>
                      <w:rFonts w:ascii="Verdana" w:eastAsia="Times New Roman" w:hAnsi="Verdana" w:cs="Times New Roman"/>
                      <w:sz w:val="18"/>
                      <w:szCs w:val="18"/>
                    </w:rPr>
                    <w:t xml:space="preserve"> (NIV), </w:t>
                  </w:r>
                  <w:hyperlink r:id="rId15" w:history="1">
                    <w:r w:rsidRPr="00E351EF">
                      <w:rPr>
                        <w:rFonts w:ascii="Verdana" w:eastAsia="Times New Roman" w:hAnsi="Verdana" w:cs="Times New Roman"/>
                        <w:b/>
                        <w:bCs/>
                        <w:color w:val="274F72"/>
                        <w:sz w:val="18"/>
                        <w:szCs w:val="18"/>
                      </w:rPr>
                      <w:t>Holman Christian Standard Bible</w:t>
                    </w:r>
                  </w:hyperlink>
                  <w:r w:rsidRPr="00E351EF">
                    <w:rPr>
                      <w:rFonts w:ascii="Verdana" w:eastAsia="Times New Roman" w:hAnsi="Verdana" w:cs="Times New Roman"/>
                      <w:sz w:val="18"/>
                      <w:szCs w:val="18"/>
                    </w:rPr>
                    <w:t xml:space="preserve"> (HCSB), and the </w:t>
                  </w:r>
                  <w:hyperlink r:id="rId16" w:history="1">
                    <w:r w:rsidRPr="00E351EF">
                      <w:rPr>
                        <w:rFonts w:ascii="Verdana" w:eastAsia="Times New Roman" w:hAnsi="Verdana" w:cs="Times New Roman"/>
                        <w:b/>
                        <w:bCs/>
                        <w:color w:val="274F72"/>
                        <w:sz w:val="18"/>
                        <w:szCs w:val="18"/>
                      </w:rPr>
                      <w:t>New American Bible</w:t>
                    </w:r>
                  </w:hyperlink>
                  <w:r w:rsidRPr="00E351EF">
                    <w:rPr>
                      <w:rFonts w:ascii="Verdana" w:eastAsia="Times New Roman" w:hAnsi="Verdana" w:cs="Times New Roman"/>
                      <w:sz w:val="18"/>
                      <w:szCs w:val="18"/>
                    </w:rPr>
                    <w:t xml:space="preserve"> (NAB).</w:t>
                  </w:r>
                </w:p>
                <w:p w:rsidR="00E351EF" w:rsidRPr="00E351EF" w:rsidRDefault="00E351EF" w:rsidP="00E351EF">
                  <w:pPr>
                    <w:spacing w:before="100" w:beforeAutospacing="1" w:after="100" w:afterAutospacing="1" w:line="240" w:lineRule="auto"/>
                    <w:rPr>
                      <w:rFonts w:ascii="Verdana" w:eastAsia="Times New Roman" w:hAnsi="Verdana" w:cs="Times New Roman"/>
                      <w:sz w:val="18"/>
                      <w:szCs w:val="18"/>
                    </w:rPr>
                  </w:pPr>
                  <w:r w:rsidRPr="00E351EF">
                    <w:rPr>
                      <w:rFonts w:ascii="Verdana" w:eastAsia="Times New Roman" w:hAnsi="Verdana" w:cs="Times New Roman"/>
                      <w:sz w:val="18"/>
                      <w:szCs w:val="18"/>
                    </w:rPr>
                    <w:t xml:space="preserve">Many find it helpful to consult more than one translation—or to use different translations in different settings. While a more literal translation is suitable for study, a </w:t>
                  </w:r>
                  <w:proofErr w:type="gramStart"/>
                  <w:r w:rsidRPr="00E351EF">
                    <w:rPr>
                      <w:rFonts w:ascii="Verdana" w:eastAsia="Times New Roman" w:hAnsi="Verdana" w:cs="Times New Roman"/>
                      <w:sz w:val="18"/>
                      <w:szCs w:val="18"/>
                    </w:rPr>
                    <w:t>more less</w:t>
                  </w:r>
                  <w:proofErr w:type="gramEnd"/>
                  <w:r w:rsidRPr="00E351EF">
                    <w:rPr>
                      <w:rFonts w:ascii="Verdana" w:eastAsia="Times New Roman" w:hAnsi="Verdana" w:cs="Times New Roman"/>
                      <w:sz w:val="18"/>
                      <w:szCs w:val="18"/>
                    </w:rPr>
                    <w:t xml:space="preserve"> literal translation is desired for devotional or casual reading. A </w:t>
                  </w:r>
                  <w:hyperlink r:id="rId17" w:tooltip="Parallel Bibles" w:history="1">
                    <w:r w:rsidRPr="00E351EF">
                      <w:rPr>
                        <w:rFonts w:ascii="Verdana" w:eastAsia="Times New Roman" w:hAnsi="Verdana" w:cs="Times New Roman"/>
                        <w:b/>
                        <w:bCs/>
                        <w:color w:val="274F72"/>
                        <w:sz w:val="18"/>
                        <w:szCs w:val="18"/>
                      </w:rPr>
                      <w:t>Parallel Bible</w:t>
                    </w:r>
                  </w:hyperlink>
                  <w:r w:rsidRPr="00E351EF">
                    <w:rPr>
                      <w:rFonts w:ascii="Verdana" w:eastAsia="Times New Roman" w:hAnsi="Verdana" w:cs="Times New Roman"/>
                      <w:sz w:val="18"/>
                      <w:szCs w:val="18"/>
                    </w:rPr>
                    <w:t xml:space="preserve"> contains two or more translations for easy comparison.</w:t>
                  </w:r>
                </w:p>
              </w:tc>
            </w:tr>
          </w:tbl>
          <w:p w:rsidR="00E351EF" w:rsidRPr="00E351EF" w:rsidRDefault="00E351EF" w:rsidP="00E351EF">
            <w:pPr>
              <w:spacing w:after="0" w:line="240" w:lineRule="auto"/>
              <w:rPr>
                <w:rFonts w:ascii="Verdana" w:eastAsia="Times New Roman" w:hAnsi="Verdana" w:cs="Times New Roman"/>
                <w:sz w:val="18"/>
                <w:szCs w:val="18"/>
              </w:rPr>
            </w:pPr>
          </w:p>
        </w:tc>
      </w:tr>
    </w:tbl>
    <w:p w:rsidR="004F4299" w:rsidRDefault="004F4299"/>
    <w:p w:rsidR="003625B8" w:rsidRDefault="003625B8"/>
    <w:p w:rsidR="003625B8" w:rsidRDefault="003625B8"/>
    <w:p w:rsidR="003625B8" w:rsidRDefault="003625B8">
      <w:r>
        <w:t xml:space="preserve">Source: </w:t>
      </w:r>
      <w:hyperlink r:id="rId18" w:history="1">
        <w:r w:rsidRPr="00D76E0E">
          <w:rPr>
            <w:rStyle w:val="Hyperlink"/>
          </w:rPr>
          <w:t>http://www.christianbook.com/Christian/Books/cms_content?page=73521&amp;sp=104481</w:t>
        </w:r>
      </w:hyperlink>
      <w:r>
        <w:t xml:space="preserve"> </w:t>
      </w:r>
      <w:bookmarkStart w:id="0" w:name="_GoBack"/>
      <w:bookmarkEnd w:id="0"/>
    </w:p>
    <w:sectPr w:rsidR="003625B8" w:rsidSect="00BB1C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EF"/>
    <w:rsid w:val="003625B8"/>
    <w:rsid w:val="004F4299"/>
    <w:rsid w:val="00BB1CFD"/>
    <w:rsid w:val="00E3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1EF"/>
    <w:rPr>
      <w:rFonts w:ascii="Tahoma" w:hAnsi="Tahoma" w:cs="Tahoma"/>
      <w:sz w:val="16"/>
      <w:szCs w:val="16"/>
    </w:rPr>
  </w:style>
  <w:style w:type="character" w:styleId="Hyperlink">
    <w:name w:val="Hyperlink"/>
    <w:basedOn w:val="DefaultParagraphFont"/>
    <w:uiPriority w:val="99"/>
    <w:unhideWhenUsed/>
    <w:rsid w:val="003625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1EF"/>
    <w:rPr>
      <w:rFonts w:ascii="Tahoma" w:hAnsi="Tahoma" w:cs="Tahoma"/>
      <w:sz w:val="16"/>
      <w:szCs w:val="16"/>
    </w:rPr>
  </w:style>
  <w:style w:type="character" w:styleId="Hyperlink">
    <w:name w:val="Hyperlink"/>
    <w:basedOn w:val="DefaultParagraphFont"/>
    <w:uiPriority w:val="99"/>
    <w:unhideWhenUsed/>
    <w:rsid w:val="00362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book.com/Christian/Books/cms_sp?sp=65042&amp;event=1003TRANS|73521|104481" TargetMode="External"/><Relationship Id="rId13" Type="http://schemas.openxmlformats.org/officeDocument/2006/relationships/hyperlink" Target="http://www.christianbook.com/Christian/Books/cms_sp?sp=65298&amp;event=1003TRANS|73521|104481" TargetMode="External"/><Relationship Id="rId18" Type="http://schemas.openxmlformats.org/officeDocument/2006/relationships/hyperlink" Target="http://www.christianbook.com/Christian/Books/cms_content?page=73521&amp;sp=104481" TargetMode="External"/><Relationship Id="rId3" Type="http://schemas.openxmlformats.org/officeDocument/2006/relationships/settings" Target="settings.xml"/><Relationship Id="rId7" Type="http://schemas.openxmlformats.org/officeDocument/2006/relationships/hyperlink" Target="http://www.christianbook.com/Christian/Books/cms_sp?sp=57319&amp;event=1003TRANS|73521|104481" TargetMode="External"/><Relationship Id="rId12" Type="http://schemas.openxmlformats.org/officeDocument/2006/relationships/hyperlink" Target="http://www.christianbook.com/Christian/Books/product?item_no=22477&amp;event=1003TRANS|73521|104481" TargetMode="External"/><Relationship Id="rId17" Type="http://schemas.openxmlformats.org/officeDocument/2006/relationships/hyperlink" Target="http://www.christianbook.com/Christian/Books/cms_content?page=206900&amp;sp=58549&amp;event=1003TRANS|73521|104481" TargetMode="External"/><Relationship Id="rId2" Type="http://schemas.microsoft.com/office/2007/relationships/stylesWithEffects" Target="stylesWithEffects.xml"/><Relationship Id="rId16" Type="http://schemas.openxmlformats.org/officeDocument/2006/relationships/hyperlink" Target="http://www.christianbook.com/Christian/Books/cms_sp?sp=57880&amp;event=1003TRANS|73521|10448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ristianbook.com/Christian/Books/cms_sp?sp=57401&amp;event=1003Main|73521|104481&amp;event=1003TRANS|73521|104481" TargetMode="External"/><Relationship Id="rId11" Type="http://schemas.openxmlformats.org/officeDocument/2006/relationships/hyperlink" Target="http://www.christianbook.com/Christian/Books/product?item_no=88490&amp;event=1003TRANS|73521|104481" TargetMode="External"/><Relationship Id="rId5" Type="http://schemas.openxmlformats.org/officeDocument/2006/relationships/image" Target="media/image1.gif"/><Relationship Id="rId15" Type="http://schemas.openxmlformats.org/officeDocument/2006/relationships/hyperlink" Target="http://www.christianbook.com/Christian/Books/cms_sp?sp=71561&amp;event=1003TRANS|73521|104481" TargetMode="External"/><Relationship Id="rId10" Type="http://schemas.openxmlformats.org/officeDocument/2006/relationships/hyperlink" Target="http://www.christianbook.com/Christian/Books/cms_content?page=1478247&amp;sp=58549&amp;event=1003TRANS|73521|1044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ristianbook.com/Christian/Books/cms_sp?sp=57705&amp;event=1003TRANS|73521|104481" TargetMode="External"/><Relationship Id="rId14" Type="http://schemas.openxmlformats.org/officeDocument/2006/relationships/hyperlink" Target="http://www.christianbook.com/Christian/Books/cms_sp?sp=57355&amp;event=1003TRANS|73521|104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4</cp:revision>
  <cp:lastPrinted>2012-03-26T00:27:00Z</cp:lastPrinted>
  <dcterms:created xsi:type="dcterms:W3CDTF">2012-02-13T02:05:00Z</dcterms:created>
  <dcterms:modified xsi:type="dcterms:W3CDTF">2012-03-26T00:48:00Z</dcterms:modified>
</cp:coreProperties>
</file>